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keepNext/>
        <w:spacing w:after="0" w:line="240" w:lineRule="auto"/>
        <w:jc w:val="center"/>
        <w:outlineLvl w:val="1"/>
        <w:rPr>
          <w:rFonts w:ascii="Arial" w:hAnsi="Arial" w:cs="Arial"/>
          <w:b/>
          <w:bCs/>
          <w:sz w:val="32"/>
          <w:szCs w:val="20"/>
          <w:lang w:eastAsia="ru-RU"/>
        </w:rPr>
      </w:pPr>
      <w:r>
        <w:rPr>
          <w:rFonts w:ascii="Arial" w:hAnsi="Arial" w:cs="Arial"/>
          <w:b/>
          <w:noProof/>
          <w:sz w:val="32"/>
          <w:szCs w:val="20"/>
          <w:lang w:eastAsia="ru-RU"/>
        </w:rPr>
        <w:drawing>
          <wp:inline distT="0" distB="0" distL="0" distR="0">
            <wp:extent cx="1295400" cy="914400"/>
            <wp:effectExtent l="0" t="0" r="0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jc w:val="center"/>
        <w:rPr>
          <w:rFonts w:ascii="Times New Roman" w:hAnsi="Times New Roman" w:cs="Arial"/>
          <w:sz w:val="20"/>
          <w:szCs w:val="20"/>
        </w:rPr>
      </w:pPr>
    </w:p>
    <w:p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РОССИЙСКАЯ ФЕДЕРАЦИЯ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ЧУКОТСКИЙ АВТОНОМНЫЙ ОКРУГ</w:t>
      </w:r>
    </w:p>
    <w:p>
      <w:pPr>
        <w:spacing w:after="0" w:line="240" w:lineRule="auto"/>
        <w:jc w:val="right"/>
        <w:rPr>
          <w:rFonts w:ascii="Times New Roman" w:hAnsi="Times New Roman"/>
          <w:bCs/>
          <w:sz w:val="30"/>
          <w:szCs w:val="30"/>
        </w:rPr>
      </w:pPr>
    </w:p>
    <w:p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СОВЕТ ДЕПУТАТОВ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городского округа Анадырь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  <w:t>Р Е Ш Е Н И Е</w:t>
      </w: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XL</w:t>
      </w:r>
      <w:r>
        <w:rPr>
          <w:rFonts w:ascii="Times New Roman" w:hAnsi="Times New Roman"/>
          <w:sz w:val="28"/>
          <w:szCs w:val="28"/>
        </w:rPr>
        <w:t xml:space="preserve"> сессия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созыва)</w:t>
      </w: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8"/>
          <w:szCs w:val="28"/>
        </w:rPr>
        <w:t>от 29 июня 2022 года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  <w:t xml:space="preserve"> </w:t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28"/>
          <w:szCs w:val="28"/>
        </w:rPr>
        <w:t>№ 256</w:t>
      </w: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ind w:right="49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материальном поощрении работников органов местного самоуправления городского округа Анадырь за достижение городским округом Анадырь показателей деятельности органов местного самоуправления в 2021 году</w:t>
      </w:r>
    </w:p>
    <w:p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соответствии с Постановлением Правительства Чукотского автономного округа от 15 июня 2022 года № 314 «О распределении в 2022 году грантов из окружного бюджета бюджетам муниципальных образований Чукотского автономного округа за достижение показателей деятельности органов местного самоуправления в 2021 году»,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1"/>
          <w:sz w:val="28"/>
          <w:szCs w:val="28"/>
        </w:rPr>
        <w:t xml:space="preserve">Соглашением от 15 июня 2022 года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№ 05-01-08/124</w:t>
      </w:r>
      <w:r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/>
        </w:rPr>
        <w:t>«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предоставлении дотации (гранта) из окружного бюджета бюджету муниципального образования Чукотского автономного округа за достижение показателей деятельности органов местного самоуправления</w:t>
      </w:r>
      <w:r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в целях установления порядка материального поощрения и распределения бюджетных ассигнований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городского округа Анадырь</w:t>
      </w:r>
    </w:p>
    <w:p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Р Е Ш И Л: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Установить, что материальное поощрение работников органов местного самоуправления городского округа Анадырь в 2022 году </w:t>
      </w:r>
      <w:r>
        <w:rPr>
          <w:rFonts w:ascii="Times New Roman" w:hAnsi="Times New Roman"/>
          <w:sz w:val="28"/>
          <w:szCs w:val="28"/>
        </w:rPr>
        <w:lastRenderedPageBreak/>
        <w:t>осуществляется за счет дотации (гранта), предоставленной бюджету городского округа Анадырь из окружного бюджета, за достижение в 2021 году показателей деятельности органов местного самоуправления.</w:t>
      </w:r>
    </w:p>
    <w:p>
      <w:pPr>
        <w:spacing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2. Материальное поощрение </w:t>
      </w:r>
      <w:r>
        <w:rPr>
          <w:rFonts w:ascii="Times New Roman" w:hAnsi="Times New Roman"/>
          <w:sz w:val="28"/>
        </w:rPr>
        <w:t xml:space="preserve">производится в 2022 году в отношении: </w:t>
      </w:r>
    </w:p>
    <w:p>
      <w:pPr>
        <w:spacing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лиц, замещающих муниципальные должности городского округа Анадырь;</w:t>
      </w:r>
    </w:p>
    <w:p>
      <w:pPr>
        <w:spacing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 xml:space="preserve"> лиц, замещающих должности, не отнесенные к должностям муниципальной службы в</w:t>
      </w:r>
      <w:r>
        <w:rPr>
          <w:rFonts w:ascii="Times New Roman" w:hAnsi="Times New Roman"/>
          <w:sz w:val="28"/>
        </w:rPr>
        <w:t xml:space="preserve"> Совете депутатов городского округа Анадырь;</w:t>
      </w:r>
    </w:p>
    <w:p>
      <w:pPr>
        <w:spacing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муниципальных служащих, замещающих должности муниципальной службы городского округа Анадырь, </w:t>
      </w:r>
      <w:r>
        <w:rPr>
          <w:rFonts w:ascii="Times New Roman" w:eastAsiaTheme="minorHAnsi" w:hAnsi="Times New Roman"/>
          <w:sz w:val="28"/>
          <w:szCs w:val="28"/>
        </w:rPr>
        <w:t>а также лиц, замещающих должности, не отнесенные к должностям муниципальной службы</w:t>
      </w:r>
      <w:r>
        <w:rPr>
          <w:rFonts w:ascii="Times New Roman" w:hAnsi="Times New Roman"/>
          <w:sz w:val="28"/>
        </w:rPr>
        <w:t xml:space="preserve"> (далее – работники) в Администрации городского округа Анадырь, а так же ее структурных подразделениях, являющихся юридическими лицами: Управлении финансов, экономики и имущественных отношений Администрации городского округа Анадырь, Управлении по социальной политике Администрации городского округа Анадырь (далее – муниципальные органы).</w:t>
      </w:r>
    </w:p>
    <w:p>
      <w:pPr>
        <w:spacing w:line="240" w:lineRule="auto"/>
        <w:ind w:right="-1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Материальное поощрение осуществляется с учетом следующих особенностей: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>
        <w:rPr>
          <w:rFonts w:ascii="Times New Roman" w:hAnsi="Times New Roman"/>
          <w:sz w:val="28"/>
        </w:rPr>
        <w:t>Осуществление материального поощрения производится в</w:t>
      </w:r>
      <w:r>
        <w:rPr>
          <w:rFonts w:ascii="Times New Roman" w:hAnsi="Times New Roman"/>
          <w:sz w:val="28"/>
          <w:szCs w:val="28"/>
        </w:rPr>
        <w:t xml:space="preserve"> виде денежной выплаты. Материальное поощрение выплачивается сверх установленного фонда оплаты труда.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Материальное поощрение выплачивается лицам, указанным в пункте 2 настоящего Решения, осуществлявшим трудовую деятельность в органах местного самоуправления городского округа Анадырь </w:t>
      </w:r>
      <w:r>
        <w:rPr>
          <w:rFonts w:ascii="Times New Roman" w:hAnsi="Times New Roman"/>
          <w:bCs/>
          <w:sz w:val="28"/>
          <w:szCs w:val="28"/>
        </w:rPr>
        <w:t xml:space="preserve">в 2021 году и находящихся в трудовых отношениях с органом местного самоуправления городского округа Анадырь на дату вступления в силу настоящего </w:t>
      </w:r>
      <w:r>
        <w:rPr>
          <w:rFonts w:ascii="Times New Roman" w:hAnsi="Times New Roman"/>
          <w:sz w:val="28"/>
          <w:szCs w:val="28"/>
        </w:rPr>
        <w:t>Решения либо перешедших в 2022 году на работу из одних органов местного самоуправления городского округа Анадырь (структурных подразделений) в другие органы местного самоуправления городского округа Анадырь (структурные подразделения)</w:t>
      </w:r>
      <w:r>
        <w:rPr>
          <w:rFonts w:ascii="Times New Roman" w:hAnsi="Times New Roman"/>
          <w:bCs/>
          <w:sz w:val="28"/>
          <w:szCs w:val="28"/>
        </w:rPr>
        <w:t>.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 xml:space="preserve">В отношении лиц, замещающих муниципальные должности, размер материального поощрения устанавливается в диапазоне от трех до шести должностных окладов с учетом районного коэффициента и процентных надбавок за работу в районах Крайнего Севера, Определение размера материального поощрения в отношении лиц, замещающих муниципальные должности, осуществляется в порядке, определенном Решением Совета депутатов городского округа Анадырь от 28 марта 2019 года № 377. Объем средств, распределяемых муниципальным органам для материального поощрения лиц, замещающих муниципальные должности, включает в себя </w:t>
      </w:r>
      <w:r>
        <w:rPr>
          <w:rFonts w:ascii="Times New Roman" w:hAnsi="Times New Roman"/>
          <w:sz w:val="28"/>
          <w:szCs w:val="28"/>
        </w:rPr>
        <w:lastRenderedPageBreak/>
        <w:t>средства для уплаты взносов на социальное страхование с учетом фактического размера по страховым взносам.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В отношении лиц, </w:t>
      </w:r>
      <w:r>
        <w:rPr>
          <w:rFonts w:ascii="Times New Roman" w:eastAsiaTheme="minorHAnsi" w:hAnsi="Times New Roman"/>
          <w:sz w:val="28"/>
          <w:szCs w:val="28"/>
        </w:rPr>
        <w:t>замещающих должности, не отнесенные к должностям муниципальной службы в</w:t>
      </w:r>
      <w:r>
        <w:rPr>
          <w:rFonts w:ascii="Times New Roman" w:hAnsi="Times New Roman"/>
          <w:sz w:val="28"/>
        </w:rPr>
        <w:t xml:space="preserve"> Совете депутатов городского округа Анадырь</w:t>
      </w:r>
      <w:r>
        <w:rPr>
          <w:rFonts w:ascii="Times New Roman" w:hAnsi="Times New Roman"/>
          <w:sz w:val="28"/>
          <w:szCs w:val="28"/>
        </w:rPr>
        <w:t>, размер материального поощрения устанавливается в диапазоне от двух до трех должностных окладов с учетом районного коэффициента и процентных надбавок за работу в районах Крайнего Севера. Объем средств, распределяемых для материального поощрения лиц, замещающих</w:t>
      </w:r>
      <w:r>
        <w:rPr>
          <w:rFonts w:ascii="Times New Roman" w:eastAsiaTheme="minorHAnsi" w:hAnsi="Times New Roman"/>
          <w:sz w:val="28"/>
          <w:szCs w:val="28"/>
        </w:rPr>
        <w:t xml:space="preserve"> должности, не отнесенные к должностям муниципальной службы в</w:t>
      </w:r>
      <w:r>
        <w:rPr>
          <w:rFonts w:ascii="Times New Roman" w:hAnsi="Times New Roman"/>
          <w:sz w:val="28"/>
        </w:rPr>
        <w:t xml:space="preserve"> Совете депутатов городского округа Анадырь,</w:t>
      </w:r>
      <w:r>
        <w:rPr>
          <w:rFonts w:ascii="Times New Roman" w:hAnsi="Times New Roman"/>
          <w:sz w:val="28"/>
          <w:szCs w:val="28"/>
        </w:rPr>
        <w:t xml:space="preserve"> включает в себя средства для уплаты страховых взносов. </w:t>
      </w:r>
      <w:r>
        <w:rPr>
          <w:rFonts w:ascii="Times New Roman" w:hAnsi="Times New Roman"/>
          <w:sz w:val="28"/>
        </w:rPr>
        <w:t>Материальное поощрение лиц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>замещающих должности, не отнесенные к должностям муниципальной службы в</w:t>
      </w:r>
      <w:r>
        <w:rPr>
          <w:rFonts w:ascii="Times New Roman" w:hAnsi="Times New Roman"/>
          <w:sz w:val="28"/>
        </w:rPr>
        <w:t xml:space="preserve"> Совете депутатов городского округа Анадырь, осуществляется в размере и порядке, определенном</w:t>
      </w:r>
      <w:r>
        <w:rPr>
          <w:rFonts w:ascii="Times New Roman" w:hAnsi="Times New Roman"/>
          <w:sz w:val="28"/>
          <w:szCs w:val="28"/>
        </w:rPr>
        <w:t xml:space="preserve"> локальным правовым актом о материальном поощрении. 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Материальное поощрение работников муниципальных органов осуществляется в порядке, устанавливаемом Администрацией городского округа Анадырь. Объем средств, предусматриваемый на материальное поощрение работников муниципального органа, рассчитывается по формуле: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vertAlign w:val="subscript"/>
        </w:rPr>
        <w:t>П</w:t>
      </w:r>
      <w:r>
        <w:rPr>
          <w:rFonts w:ascii="Times New Roman" w:hAnsi="Times New Roman"/>
          <w:sz w:val="28"/>
          <w:szCs w:val="28"/>
        </w:rPr>
        <w:t xml:space="preserve"> = ((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vertAlign w:val="subscript"/>
        </w:rPr>
        <w:t xml:space="preserve">О </w:t>
      </w:r>
      <w:r>
        <w:rPr>
          <w:rFonts w:ascii="Times New Roman" w:hAnsi="Times New Roman"/>
          <w:sz w:val="28"/>
          <w:szCs w:val="28"/>
        </w:rPr>
        <w:t>– О</w:t>
      </w:r>
      <w:r>
        <w:rPr>
          <w:rFonts w:ascii="Times New Roman" w:hAnsi="Times New Roman"/>
          <w:sz w:val="28"/>
          <w:szCs w:val="28"/>
          <w:vertAlign w:val="subscript"/>
        </w:rPr>
        <w:t>ПМД)</w:t>
      </w:r>
      <w:r>
        <w:rPr>
          <w:rFonts w:ascii="Times New Roman" w:hAnsi="Times New Roman"/>
          <w:sz w:val="28"/>
          <w:szCs w:val="28"/>
        </w:rPr>
        <w:t>) /Ч</w:t>
      </w:r>
      <w:r>
        <w:rPr>
          <w:rFonts w:ascii="Times New Roman" w:hAnsi="Times New Roman"/>
          <w:sz w:val="28"/>
          <w:szCs w:val="28"/>
          <w:vertAlign w:val="subscript"/>
        </w:rPr>
        <w:t>О</w:t>
      </w:r>
      <w:r>
        <w:rPr>
          <w:rFonts w:ascii="Times New Roman" w:hAnsi="Times New Roman"/>
          <w:sz w:val="28"/>
          <w:szCs w:val="28"/>
        </w:rPr>
        <w:t>) * Ч</w:t>
      </w:r>
      <w:r>
        <w:rPr>
          <w:rFonts w:ascii="Times New Roman" w:hAnsi="Times New Roman"/>
          <w:sz w:val="28"/>
          <w:szCs w:val="28"/>
          <w:vertAlign w:val="subscript"/>
        </w:rPr>
        <w:t xml:space="preserve">Р </w:t>
      </w:r>
      <w:r>
        <w:rPr>
          <w:rFonts w:ascii="Times New Roman" w:hAnsi="Times New Roman"/>
          <w:sz w:val="28"/>
          <w:szCs w:val="28"/>
        </w:rPr>
        <w:t>, где: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vertAlign w:val="subscript"/>
        </w:rPr>
        <w:t xml:space="preserve">П – </w:t>
      </w:r>
      <w:r>
        <w:rPr>
          <w:rFonts w:ascii="Times New Roman" w:hAnsi="Times New Roman"/>
          <w:sz w:val="28"/>
          <w:szCs w:val="28"/>
        </w:rPr>
        <w:t>объем материального поощрения для работников муниципального органа (тыс. рублей);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  <w:vertAlign w:val="subscript"/>
        </w:rPr>
        <w:t xml:space="preserve">О </w:t>
      </w:r>
      <w:r>
        <w:rPr>
          <w:rFonts w:ascii="Times New Roman" w:hAnsi="Times New Roman"/>
          <w:sz w:val="28"/>
          <w:szCs w:val="28"/>
        </w:rPr>
        <w:t>– общая численность работников муниципальных органов, определяемая на основе данных штатного расписания по состоянию на 31 декабря 2021 года, за исключением штатной численности должностных лиц, замещающих муниципальные должности</w:t>
      </w:r>
      <w:r>
        <w:rPr>
          <w:rFonts w:ascii="Times New Roman" w:hAnsi="Times New Roman"/>
          <w:sz w:val="28"/>
        </w:rPr>
        <w:t>;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  <w:vertAlign w:val="subscript"/>
        </w:rPr>
        <w:t>Р</w:t>
      </w:r>
      <w:r>
        <w:rPr>
          <w:rFonts w:ascii="Times New Roman" w:hAnsi="Times New Roman"/>
          <w:sz w:val="28"/>
          <w:szCs w:val="28"/>
        </w:rPr>
        <w:t xml:space="preserve"> – штатная численность работников муниципального органа, определяемая на основе данных штатного расписания по состоянию на 31 декабря 2021 года, за исключением штатной численности должностных лиц, замещающих муниципальные должности</w:t>
      </w:r>
      <w:r>
        <w:rPr>
          <w:rFonts w:ascii="Times New Roman" w:hAnsi="Times New Roman"/>
          <w:sz w:val="28"/>
        </w:rPr>
        <w:t>.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vertAlign w:val="subscript"/>
        </w:rPr>
        <w:t xml:space="preserve">О </w:t>
      </w:r>
      <w:r>
        <w:rPr>
          <w:rFonts w:ascii="Times New Roman" w:hAnsi="Times New Roman"/>
          <w:sz w:val="28"/>
          <w:szCs w:val="28"/>
        </w:rPr>
        <w:t>– объем гранта, предоставленного из окружного бюджета;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vertAlign w:val="subscript"/>
        </w:rPr>
        <w:t>ПМД</w:t>
      </w:r>
      <w:r>
        <w:rPr>
          <w:rFonts w:ascii="Times New Roman" w:hAnsi="Times New Roman"/>
          <w:sz w:val="28"/>
          <w:szCs w:val="28"/>
        </w:rPr>
        <w:t xml:space="preserve"> - объем материального поощрения лиц, замещающих муниципальные должности и</w:t>
      </w:r>
      <w:r>
        <w:rPr>
          <w:rFonts w:ascii="Times New Roman" w:eastAsiaTheme="minorHAnsi" w:hAnsi="Times New Roman"/>
          <w:sz w:val="28"/>
          <w:szCs w:val="28"/>
        </w:rPr>
        <w:t xml:space="preserve"> лиц, замещающих должности, не отнесенные к должностям муниципальной службы в</w:t>
      </w:r>
      <w:r>
        <w:rPr>
          <w:rFonts w:ascii="Times New Roman" w:hAnsi="Times New Roman"/>
          <w:sz w:val="28"/>
        </w:rPr>
        <w:t xml:space="preserve"> Совете депутатов городского округа Анадырь</w:t>
      </w:r>
      <w:r>
        <w:rPr>
          <w:rFonts w:ascii="Times New Roman" w:hAnsi="Times New Roman"/>
          <w:sz w:val="28"/>
          <w:szCs w:val="28"/>
        </w:rPr>
        <w:t>.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Распределение бюджетных ассигнований между главными распорядителями средств бюджета городского округа Анадырь осуществляется в порядке, установленном Администрацией городского округа Анадырь для принятия решений об использовании </w:t>
      </w:r>
      <w:r>
        <w:rPr>
          <w:rFonts w:ascii="Times New Roman" w:hAnsi="Times New Roman"/>
          <w:sz w:val="28"/>
          <w:szCs w:val="28"/>
        </w:rPr>
        <w:lastRenderedPageBreak/>
        <w:t>(перераспределении) зарезервированных средств в бюджете городского округа Анадырь.</w:t>
      </w:r>
    </w:p>
    <w:p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Использование средств, выделенных для материального поощрения, осуществляется с учетом фактического размера страховых взносов.</w:t>
      </w:r>
    </w:p>
    <w:p>
      <w:pPr>
        <w:autoSpaceDE w:val="0"/>
        <w:autoSpaceDN w:val="0"/>
        <w:adjustRightInd w:val="0"/>
        <w:spacing w:line="240" w:lineRule="auto"/>
        <w:ind w:firstLine="70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 Настоящее решение вступает в силу со дня его подписания.</w:t>
      </w:r>
    </w:p>
    <w:p>
      <w:pPr>
        <w:tabs>
          <w:tab w:val="left" w:pos="720"/>
        </w:tabs>
        <w:ind w:firstLine="702"/>
        <w:jc w:val="both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>
        <w:tc>
          <w:tcPr>
            <w:tcW w:w="4928" w:type="dxa"/>
          </w:tcPr>
          <w:p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__________________Л.А. Николаев</w:t>
            </w:r>
          </w:p>
        </w:tc>
        <w:tc>
          <w:tcPr>
            <w:tcW w:w="5103" w:type="dxa"/>
          </w:tcPr>
          <w:p>
            <w:pPr>
              <w:ind w:right="574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>
            <w:pPr>
              <w:ind w:right="574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Анадырь</w:t>
      </w: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июня 2022 года</w:t>
      </w:r>
    </w:p>
    <w:p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256</w:t>
      </w: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34BC8B-4639-4C53-8EC3-2E31392E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BFD83-8699-42B0-81D2-0931773A7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7</cp:revision>
  <cp:lastPrinted>2022-06-23T05:20:00Z</cp:lastPrinted>
  <dcterms:created xsi:type="dcterms:W3CDTF">2022-06-23T05:21:00Z</dcterms:created>
  <dcterms:modified xsi:type="dcterms:W3CDTF">2022-06-29T06:29:00Z</dcterms:modified>
</cp:coreProperties>
</file>